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A0" w:rsidRPr="006630A0" w:rsidRDefault="006630A0" w:rsidP="006630A0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иложение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N 1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постановлению администрации                                                                                            Новогоряновского сельского поселения                                                                                                       № 91от28.07.2016г</w:t>
      </w:r>
    </w:p>
    <w:p w:rsidR="006630A0" w:rsidRDefault="006630A0" w:rsidP="006630A0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p w:rsidR="006630A0" w:rsidRPr="006630A0" w:rsidRDefault="006630A0" w:rsidP="006630A0">
      <w:pPr>
        <w:shd w:val="clear" w:color="auto" w:fill="FFFFFF"/>
        <w:tabs>
          <w:tab w:val="left" w:pos="10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A0">
        <w:rPr>
          <w:rFonts w:ascii="Times New Roman" w:hAnsi="Times New Roman" w:cs="Times New Roman"/>
          <w:b/>
          <w:sz w:val="24"/>
          <w:szCs w:val="24"/>
        </w:rPr>
        <w:t>Перечень объектов потребителей тепловой энергии, подлежащих проверке  и сроки проведения проверки</w:t>
      </w:r>
    </w:p>
    <w:p w:rsidR="006630A0" w:rsidRPr="006630A0" w:rsidRDefault="006630A0" w:rsidP="006630A0">
      <w:pPr>
        <w:shd w:val="clear" w:color="auto" w:fill="FFFFFF"/>
        <w:tabs>
          <w:tab w:val="left" w:pos="10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028"/>
        <w:gridCol w:w="2700"/>
        <w:gridCol w:w="1980"/>
      </w:tblGrid>
      <w:tr w:rsidR="006630A0" w:rsidRPr="006630A0" w:rsidTr="00F341AF">
        <w:trPr>
          <w:trHeight w:val="1900"/>
        </w:trPr>
        <w:tc>
          <w:tcPr>
            <w:tcW w:w="580" w:type="dxa"/>
            <w:vAlign w:val="center"/>
          </w:tcPr>
          <w:p w:rsidR="006630A0" w:rsidRPr="006630A0" w:rsidRDefault="006630A0" w:rsidP="00F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30A0" w:rsidRPr="006630A0" w:rsidRDefault="006630A0" w:rsidP="00F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8" w:type="dxa"/>
            <w:vAlign w:val="center"/>
          </w:tcPr>
          <w:p w:rsidR="006630A0" w:rsidRPr="006630A0" w:rsidRDefault="006630A0" w:rsidP="00F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проверяемой  организации </w:t>
            </w:r>
          </w:p>
        </w:tc>
        <w:tc>
          <w:tcPr>
            <w:tcW w:w="2700" w:type="dxa"/>
            <w:vAlign w:val="center"/>
          </w:tcPr>
          <w:p w:rsidR="006630A0" w:rsidRPr="006630A0" w:rsidRDefault="006630A0" w:rsidP="00F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проверяемой организации</w:t>
            </w:r>
          </w:p>
        </w:tc>
        <w:tc>
          <w:tcPr>
            <w:tcW w:w="1980" w:type="dxa"/>
            <w:vAlign w:val="center"/>
          </w:tcPr>
          <w:p w:rsidR="006630A0" w:rsidRPr="006630A0" w:rsidRDefault="006630A0" w:rsidP="00F3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6630A0" w:rsidRPr="006630A0" w:rsidTr="00F341AF">
        <w:trPr>
          <w:trHeight w:val="342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образовательная школа»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здания </w:t>
            </w:r>
          </w:p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школы и детского сада</w:t>
            </w:r>
          </w:p>
        </w:tc>
        <w:tc>
          <w:tcPr>
            <w:tcW w:w="198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30A0" w:rsidRPr="006630A0" w:rsidTr="00F341AF">
        <w:trPr>
          <w:trHeight w:val="342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Новогоряновского</w:t>
            </w:r>
            <w:proofErr w:type="spellEnd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Помещения здания</w:t>
            </w:r>
          </w:p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980" w:type="dxa"/>
          </w:tcPr>
          <w:p w:rsidR="006630A0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0A0"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30A0" w:rsidRPr="006630A0" w:rsidTr="008F63D5">
        <w:trPr>
          <w:trHeight w:val="691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r w:rsidR="008F6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0" w:type="dxa"/>
          </w:tcPr>
          <w:p w:rsidR="006630A0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0A0"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30A0" w:rsidRPr="006630A0" w:rsidTr="00F341AF">
        <w:trPr>
          <w:trHeight w:val="342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Торговые объекты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Помещения торговых объектов</w:t>
            </w:r>
          </w:p>
        </w:tc>
        <w:tc>
          <w:tcPr>
            <w:tcW w:w="1980" w:type="dxa"/>
          </w:tcPr>
          <w:p w:rsidR="006630A0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0A0"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30A0" w:rsidRPr="006630A0" w:rsidTr="00F341AF">
        <w:trPr>
          <w:trHeight w:val="342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Помещение почты</w:t>
            </w:r>
          </w:p>
        </w:tc>
        <w:tc>
          <w:tcPr>
            <w:tcW w:w="1980" w:type="dxa"/>
          </w:tcPr>
          <w:p w:rsidR="006630A0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0A0"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30A0" w:rsidRPr="006630A0" w:rsidTr="00F341AF">
        <w:trPr>
          <w:trHeight w:val="342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Помещение кондитерского цеха</w:t>
            </w:r>
          </w:p>
        </w:tc>
        <w:tc>
          <w:tcPr>
            <w:tcW w:w="1980" w:type="dxa"/>
          </w:tcPr>
          <w:p w:rsidR="006630A0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0A0"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30A0" w:rsidRPr="006630A0" w:rsidTr="00F341AF">
        <w:trPr>
          <w:trHeight w:val="342"/>
        </w:trPr>
        <w:tc>
          <w:tcPr>
            <w:tcW w:w="580" w:type="dxa"/>
          </w:tcPr>
          <w:p w:rsidR="006630A0" w:rsidRPr="006630A0" w:rsidRDefault="006630A0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630A0" w:rsidRPr="006630A0" w:rsidRDefault="006630A0" w:rsidP="008F63D5">
            <w:pPr>
              <w:spacing w:line="240" w:lineRule="auto"/>
              <w:ind w:left="7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  <w:tc>
          <w:tcPr>
            <w:tcW w:w="2700" w:type="dxa"/>
          </w:tcPr>
          <w:p w:rsidR="006630A0" w:rsidRPr="006630A0" w:rsidRDefault="006630A0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0">
              <w:rPr>
                <w:rFonts w:ascii="Times New Roman" w:hAnsi="Times New Roman" w:cs="Times New Roman"/>
                <w:sz w:val="24"/>
                <w:szCs w:val="24"/>
              </w:rPr>
              <w:t>Помещение администрации</w:t>
            </w:r>
          </w:p>
        </w:tc>
        <w:tc>
          <w:tcPr>
            <w:tcW w:w="1980" w:type="dxa"/>
          </w:tcPr>
          <w:p w:rsidR="006630A0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30A0" w:rsidRPr="006630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F63D5" w:rsidRPr="006630A0" w:rsidTr="00F341AF">
        <w:trPr>
          <w:trHeight w:val="342"/>
        </w:trPr>
        <w:tc>
          <w:tcPr>
            <w:tcW w:w="580" w:type="dxa"/>
          </w:tcPr>
          <w:p w:rsidR="008F63D5" w:rsidRPr="006630A0" w:rsidRDefault="008F63D5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8F63D5" w:rsidRPr="006630A0" w:rsidRDefault="008F63D5" w:rsidP="008F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5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фонд с. Новое Горяново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D5">
              <w:rPr>
                <w:rFonts w:ascii="Times New Roman" w:eastAsia="Calibri" w:hAnsi="Times New Roman" w:cs="Times New Roman"/>
                <w:sz w:val="24"/>
                <w:szCs w:val="24"/>
              </w:rPr>
              <w:t>( многоквартирные дома)</w:t>
            </w:r>
          </w:p>
        </w:tc>
        <w:tc>
          <w:tcPr>
            <w:tcW w:w="2700" w:type="dxa"/>
          </w:tcPr>
          <w:p w:rsidR="008F63D5" w:rsidRPr="008F63D5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5">
              <w:rPr>
                <w:rFonts w:ascii="Times New Roman" w:eastAsia="Calibri" w:hAnsi="Times New Roman" w:cs="Times New Roman"/>
                <w:sz w:val="24"/>
                <w:szCs w:val="24"/>
              </w:rPr>
              <w:t>27 многоквартирных домов</w:t>
            </w:r>
          </w:p>
        </w:tc>
        <w:tc>
          <w:tcPr>
            <w:tcW w:w="1980" w:type="dxa"/>
          </w:tcPr>
          <w:p w:rsidR="008F63D5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8F63D5" w:rsidRPr="006630A0" w:rsidTr="00F341AF">
        <w:trPr>
          <w:trHeight w:val="342"/>
        </w:trPr>
        <w:tc>
          <w:tcPr>
            <w:tcW w:w="580" w:type="dxa"/>
          </w:tcPr>
          <w:p w:rsidR="008F63D5" w:rsidRPr="006630A0" w:rsidRDefault="008F63D5" w:rsidP="008F63D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8F63D5" w:rsidRPr="008F63D5" w:rsidRDefault="008F63D5" w:rsidP="008F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D5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фонд с. Междуреченск (многоквартирные дома)</w:t>
            </w:r>
          </w:p>
        </w:tc>
        <w:tc>
          <w:tcPr>
            <w:tcW w:w="2700" w:type="dxa"/>
          </w:tcPr>
          <w:p w:rsidR="008F63D5" w:rsidRPr="008F63D5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3D5">
              <w:rPr>
                <w:rFonts w:ascii="Times New Roman" w:eastAsia="Calibri" w:hAnsi="Times New Roman" w:cs="Times New Roman"/>
                <w:sz w:val="24"/>
                <w:szCs w:val="24"/>
              </w:rPr>
              <w:t>7 многоквартирных домов</w:t>
            </w:r>
          </w:p>
        </w:tc>
        <w:tc>
          <w:tcPr>
            <w:tcW w:w="1980" w:type="dxa"/>
          </w:tcPr>
          <w:p w:rsidR="008F63D5" w:rsidRPr="006630A0" w:rsidRDefault="008F63D5" w:rsidP="008F6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</w:tbl>
    <w:p w:rsidR="006630A0" w:rsidRPr="006630A0" w:rsidRDefault="006630A0" w:rsidP="006630A0">
      <w:pPr>
        <w:shd w:val="clear" w:color="auto" w:fill="FFFFFF"/>
        <w:tabs>
          <w:tab w:val="left" w:pos="10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A0" w:rsidRDefault="006630A0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C067B6" w:rsidRPr="00C067B6" w:rsidRDefault="00C067B6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Приложение N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2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к 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постановлению администрации                                                                                            Новогоряновского сельского поселения                                                                                                       №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91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от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28.07.2016</w:t>
      </w:r>
      <w:r w:rsid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г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Par218"/>
      <w:bookmarkEnd w:id="0"/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 №________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проверки готовности к отопительному периоду ____________ годов</w:t>
      </w:r>
    </w:p>
    <w:p w:rsidR="004D2F43" w:rsidRPr="004D2F43" w:rsidRDefault="004D2F43" w:rsidP="004D2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«_____»____________ 20__ г.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(место составление акта)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(дата составления акта)</w:t>
      </w:r>
    </w:p>
    <w:p w:rsidR="004D2F43" w:rsidRPr="004D2F43" w:rsidRDefault="004D2F43" w:rsidP="004D2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образованная распоряжением администрации Новогоряновского сельского поселения от ____________ № _____________, в соответствии с программой проведения проверки готовности к отопительному периоду с «___»____________20__ г. по «___»_____________ 20__ г. в соответствии с </w:t>
      </w:r>
      <w:hyperlink r:id="rId5" w:history="1">
        <w:r w:rsidRPr="004D2F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4D2F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190-ФЗ «О теплоснабжении» провела проверку готовности к отопительному периоду _______________________________________________________________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4D2F43" w:rsidRPr="004D2F43" w:rsidRDefault="004D2F43" w:rsidP="004D2F4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_________/_________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(подпись, расшифровка подписи)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991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наличии у комиссии замечаний к выполнению требований по готовности </w:t>
      </w:r>
      <w:bookmarkEnd w:id="1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 прилагается перечень замечаний с указанием сроков их устранения.</w:t>
      </w:r>
    </w:p>
    <w:p w:rsidR="004D2F43" w:rsidRPr="004D2F43" w:rsidRDefault="004D2F43" w:rsidP="004D2F43">
      <w:pPr>
        <w:keepNext/>
        <w:spacing w:after="0" w:line="240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before="240" w:after="0" w:line="240" w:lineRule="auto"/>
        <w:ind w:left="4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акту проверки готовности 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№________ от «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 20__ г.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проверки готовности к отопительному периоду.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(дата)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(дата)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(дата)                                                                                                                    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B6" w:rsidRPr="00C067B6" w:rsidRDefault="00C067B6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 xml:space="preserve">Приложение N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3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к 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постановлению администрации                                                                                   Новогоряновского сельского поселения                                                                                                  №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91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от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28.07.2016</w:t>
      </w:r>
      <w:r w:rsid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г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27"/>
      <w:bookmarkEnd w:id="2"/>
      <w:r w:rsidRPr="004D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готовности к отопительному периоду _______/______ г.г.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Выдан____________________________________________________________,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1.________________________________________________________________;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2.________________________________________________________________;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3.________________________________________________________________;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________________ №__________________.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</w:t>
      </w:r>
      <w:bookmarkStart w:id="3" w:name="Par254"/>
      <w:bookmarkEnd w:id="3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</w:t>
      </w:r>
    </w:p>
    <w:p w:rsidR="00C067B6" w:rsidRPr="00B95C7A" w:rsidRDefault="00C067B6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Cambria Math" w:eastAsia="Times New Roman" w:hAnsi="Cambria Math" w:cs="Times New Roman"/>
          <w:color w:val="31271F"/>
          <w:sz w:val="24"/>
          <w:szCs w:val="24"/>
          <w:lang w:eastAsia="ru-RU"/>
        </w:rPr>
      </w:pPr>
      <w:bookmarkStart w:id="4" w:name="Par302"/>
      <w:bookmarkEnd w:id="4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 xml:space="preserve">Приложение N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4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к 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постановлению администрации                                                                                   Новогоряновского сельского поселения                                                                                                </w:t>
      </w:r>
      <w:r w:rsidR="004D2F43" w:rsidRP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№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91</w:t>
      </w:r>
      <w:r w:rsidR="004D2F43" w:rsidRP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от 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28</w:t>
      </w:r>
      <w:r w:rsidR="00B95C7A" w:rsidRP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.07.</w:t>
      </w:r>
      <w:r w:rsidR="006630A0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2016</w:t>
      </w:r>
      <w:r w:rsidR="00B95C7A" w:rsidRP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г</w:t>
      </w:r>
    </w:p>
    <w:p w:rsidR="00C067B6" w:rsidRPr="00C067B6" w:rsidRDefault="00C067B6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bookmarkStart w:id="5" w:name="Par311"/>
      <w:bookmarkEnd w:id="5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ТРЕБОВАНИЯ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ПО ГОТОВНОСТИ К ОТОПИТЕЛЬНОМУ ПЕРИОДУ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ДЛЯ ПОТРЕБИТЕЛЕЙ ТЕПЛОВОЙ ЭНЕРГИИ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2. Проведение промывки оборудования и коммуникаций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теплопотребляющих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установок.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3. Разработка эксплуатационных режимов, а также мероприятий по их внедрению.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4. Выполнение плана ремонтных работ и качество их выполнения.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5. Состояние тепловых сетей, принадлежащих потребителю тепловой энергии.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7. Состояние трубопроводов, арматуры и тепловой изоляции в пределах тепловых пунктов.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8. Наличие и работоспособность приборов учета, работоспособность автоматических регуляторов при их наличии.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9. Работоспособность защиты систем теплопотребления.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10. Наличие паспортов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теплопотребляющих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11. Отсутствие прямых соединений оборудования тепловых пунктов с водопроводом и канализацией.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12. Плотность оборудования тепловых пунктов.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13. Наличие пломб на расчетных шайбах и соплах элеваторов.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14. Отсутствие задолженности за поставленные тепловую энергию (мощность), теплоноситель.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теплопотребляющих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установок.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16. Проведение испытания оборудования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теплопотребляющих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установок на плотность и прочность.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17. Надежность теплоснабжения потребителей тепловой энергии с учетом климатических условий в соответствии с </w:t>
      </w:r>
      <w:hyperlink r:id="rId6" w:history="1"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критериями</w:t>
        </w:r>
      </w:hyperlink>
      <w:r w:rsidRPr="00C067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приведенными в приложении N 3 Приказа Министерства энергетики Российской Федерации от 12 марта 2013 года N 103 "Об утверждении Правил оценки готовности к отопительному периоду".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</w:t>
      </w:r>
    </w:p>
    <w:p w:rsidR="006F058A" w:rsidRPr="00C067B6" w:rsidRDefault="006F058A" w:rsidP="00C067B6">
      <w:pPr>
        <w:rPr>
          <w:rFonts w:ascii="Times New Roman" w:hAnsi="Times New Roman" w:cs="Times New Roman"/>
          <w:sz w:val="24"/>
          <w:szCs w:val="24"/>
        </w:rPr>
      </w:pPr>
    </w:p>
    <w:sectPr w:rsidR="006F058A" w:rsidRPr="00C067B6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750"/>
    <w:multiLevelType w:val="multilevel"/>
    <w:tmpl w:val="195C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403D3"/>
    <w:multiLevelType w:val="hybridMultilevel"/>
    <w:tmpl w:val="0ADCD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0428B"/>
    <w:multiLevelType w:val="multilevel"/>
    <w:tmpl w:val="094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7454C"/>
    <w:multiLevelType w:val="multilevel"/>
    <w:tmpl w:val="93A8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F1CFB"/>
    <w:rsid w:val="0003482A"/>
    <w:rsid w:val="001D5ACB"/>
    <w:rsid w:val="003552B5"/>
    <w:rsid w:val="004965EB"/>
    <w:rsid w:val="00496952"/>
    <w:rsid w:val="004D2F43"/>
    <w:rsid w:val="00544C5B"/>
    <w:rsid w:val="0061175A"/>
    <w:rsid w:val="006630A0"/>
    <w:rsid w:val="006F058A"/>
    <w:rsid w:val="008D0099"/>
    <w:rsid w:val="008F63D5"/>
    <w:rsid w:val="00AF1CFB"/>
    <w:rsid w:val="00B53646"/>
    <w:rsid w:val="00B95C7A"/>
    <w:rsid w:val="00C067B6"/>
    <w:rsid w:val="00D624B2"/>
    <w:rsid w:val="00DC1588"/>
    <w:rsid w:val="00F3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4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B1D85AB7CAAE798BE9A51073E3CD0180955E0497A8FED72D5211552F8B36DC5821CFF0FE2DF55CyCv5F" TargetMode="External"/><Relationship Id="rId5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Maximus</cp:lastModifiedBy>
  <cp:revision>3</cp:revision>
  <cp:lastPrinted>2016-08-22T08:04:00Z</cp:lastPrinted>
  <dcterms:created xsi:type="dcterms:W3CDTF">2016-08-29T20:16:00Z</dcterms:created>
  <dcterms:modified xsi:type="dcterms:W3CDTF">2016-08-29T20:16:00Z</dcterms:modified>
</cp:coreProperties>
</file>